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1D2" w:rsidRDefault="00B051D2" w:rsidP="00906509">
      <w:pPr>
        <w:jc w:val="center"/>
        <w:rPr>
          <w:b/>
          <w:u w:val="single"/>
        </w:rPr>
      </w:pPr>
    </w:p>
    <w:bookmarkStart w:id="0" w:name="_GoBack"/>
    <w:bookmarkEnd w:id="0"/>
    <w:p w:rsidR="008018FD" w:rsidRPr="00F528A5" w:rsidRDefault="00B051D2" w:rsidP="00906509">
      <w:pPr>
        <w:jc w:val="center"/>
        <w:rPr>
          <w:b/>
          <w:u w:val="single"/>
        </w:rPr>
      </w:pPr>
      <w:r>
        <w:rPr>
          <w:noProof/>
        </w:rPr>
        <mc:AlternateContent>
          <mc:Choice Requires="wps">
            <w:drawing>
              <wp:anchor distT="0" distB="0" distL="114300" distR="114300" simplePos="0" relativeHeight="251659264" behindDoc="0" locked="0" layoutInCell="1" allowOverlap="1" wp14:anchorId="2EF664B3" wp14:editId="3D82037D">
                <wp:simplePos x="0" y="0"/>
                <wp:positionH relativeFrom="column">
                  <wp:posOffset>0</wp:posOffset>
                </wp:positionH>
                <wp:positionV relativeFrom="paragraph">
                  <wp:posOffset>-635</wp:posOffset>
                </wp:positionV>
                <wp:extent cx="6076950" cy="2133600"/>
                <wp:effectExtent l="0" t="0" r="19050" b="19050"/>
                <wp:wrapNone/>
                <wp:docPr id="1" name="TextBox 4"/>
                <wp:cNvGraphicFramePr/>
                <a:graphic xmlns:a="http://schemas.openxmlformats.org/drawingml/2006/main">
                  <a:graphicData uri="http://schemas.microsoft.com/office/word/2010/wordprocessingShape">
                    <wps:wsp>
                      <wps:cNvSpPr txBox="1"/>
                      <wps:spPr>
                        <a:xfrm>
                          <a:off x="0" y="0"/>
                          <a:ext cx="6076950" cy="2133600"/>
                        </a:xfrm>
                        <a:prstGeom prst="rect">
                          <a:avLst/>
                        </a:prstGeom>
                        <a:solidFill>
                          <a:schemeClr val="lt1"/>
                        </a:solidFill>
                        <a:ln w="19050" cmpd="sng">
                          <a:solidFill>
                            <a:srgbClr val="C00000"/>
                          </a:solidFill>
                        </a:ln>
                      </wps:spPr>
                      <wps:style>
                        <a:lnRef idx="0">
                          <a:scrgbClr r="0" g="0" b="0"/>
                        </a:lnRef>
                        <a:fillRef idx="0">
                          <a:scrgbClr r="0" g="0" b="0"/>
                        </a:fillRef>
                        <a:effectRef idx="0">
                          <a:scrgbClr r="0" g="0" b="0"/>
                        </a:effectRef>
                        <a:fontRef idx="minor">
                          <a:schemeClr val="dk1"/>
                        </a:fontRef>
                      </wps:style>
                      <wps:txbx>
                        <w:txbxContent>
                          <w:p w:rsidR="00B051D2" w:rsidRDefault="00B051D2" w:rsidP="00B051D2">
                            <w:pPr>
                              <w:pStyle w:val="NormalWeb"/>
                              <w:spacing w:before="0" w:beforeAutospacing="0" w:after="0" w:afterAutospacing="0"/>
                            </w:pPr>
                            <w:r>
                              <w:rPr>
                                <w:rFonts w:asciiTheme="minorHAnsi" w:hAnsi="Calibri" w:cstheme="minorBidi"/>
                                <w:color w:val="C00000"/>
                                <w:sz w:val="28"/>
                                <w:szCs w:val="28"/>
                              </w:rPr>
                              <w:t>This tool and associated information and materials (including all content, functions, and data) are provided as-is, without warranties of any kind, either expressed or implied.  Materials are for convenience and academic inquiry.  WSDOT shall not be liable for your use of or inability to use the spreadsheet, materials or information under any circumstances.  Use of materials and tools on this website is at your own risk.  You assume full responsibility for use of information, communications, content, files or other materials accessed through this website.</w:t>
                            </w:r>
                          </w:p>
                        </w:txbxContent>
                      </wps:txbx>
                      <wps:bodyPr vertOverflow="overflow" horzOverflow="overflow" wrap="square" rtlCol="0" anchor="ctr" anchorCtr="0">
                        <a:noAutofit/>
                      </wps:bodyPr>
                    </wps:wsp>
                  </a:graphicData>
                </a:graphic>
                <wp14:sizeRelV relativeFrom="margin">
                  <wp14:pctHeight>0</wp14:pctHeight>
                </wp14:sizeRelV>
              </wp:anchor>
            </w:drawing>
          </mc:Choice>
          <mc:Fallback>
            <w:pict>
              <v:shapetype w14:anchorId="2EF664B3" id="_x0000_t202" coordsize="21600,21600" o:spt="202" path="m,l,21600r21600,l21600,xe">
                <v:stroke joinstyle="miter"/>
                <v:path gradientshapeok="t" o:connecttype="rect"/>
              </v:shapetype>
              <v:shape id="TextBox 4" o:spid="_x0000_s1026" type="#_x0000_t202" style="position:absolute;left:0;text-align:left;margin-left:0;margin-top:-.05pt;width:478.5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" fillcolor="white [3201]" strokecolor="#c00000" strokeweight="1.5pt">
                <v:textbox>
                  <w:txbxContent>
                    <w:p w:rsidR="00B051D2" w:rsidRDefault="00B051D2" w:rsidP="00B051D2">
                      <w:pPr>
                        <w:pStyle w:val="NormalWeb"/>
                        <w:spacing w:before="0" w:beforeAutospacing="0" w:after="0" w:afterAutospacing="0"/>
                      </w:pPr>
                      <w:bookmarkStart w:id="1" w:name="_GoBack"/>
                      <w:r>
                        <w:rPr>
                          <w:rFonts w:asciiTheme="minorHAnsi" w:hAnsi="Calibri" w:cstheme="minorBidi"/>
                          <w:color w:val="C00000"/>
                          <w:sz w:val="28"/>
                          <w:szCs w:val="28"/>
                        </w:rPr>
                        <w:t>This tool and associated information and materials (including all content, functions, and data) are provided as-is, without warranties of any kind, either expressed or implied.  Materials are for convenience and academic inquiry.  WSDOT shall not be liable for your use of or inability to use the spreadsheet, materials or information under any circumstances.  Use of materials and tools on this website is at your own risk.  You assume full responsibility for use of information, communications, content, files or other materials accessed through this website.</w:t>
                      </w:r>
                      <w:bookmarkEnd w:id="1"/>
                    </w:p>
                  </w:txbxContent>
                </v:textbox>
              </v:shape>
            </w:pict>
          </mc:Fallback>
        </mc:AlternateContent>
      </w:r>
      <w:r>
        <w:rPr>
          <w:b/>
          <w:u w:val="single"/>
        </w:rPr>
        <w:br w:type="column"/>
      </w:r>
      <w:r w:rsidR="008018FD" w:rsidRPr="00F528A5">
        <w:rPr>
          <w:b/>
          <w:u w:val="single"/>
        </w:rPr>
        <w:lastRenderedPageBreak/>
        <w:t>User’s Guide: Weighted Summation Model</w:t>
      </w:r>
    </w:p>
    <w:p w:rsidR="008018FD" w:rsidRDefault="008018FD" w:rsidP="008018FD">
      <w:pPr>
        <w:pStyle w:val="ListParagraph"/>
        <w:numPr>
          <w:ilvl w:val="0"/>
          <w:numId w:val="1"/>
        </w:numPr>
      </w:pPr>
      <w:r>
        <w:t>Open ‘Model Ready To Use’ .</w:t>
      </w:r>
      <w:proofErr w:type="spellStart"/>
      <w:r>
        <w:t>xlsm</w:t>
      </w:r>
      <w:proofErr w:type="spellEnd"/>
      <w:r>
        <w:t xml:space="preserve"> workbook</w:t>
      </w:r>
    </w:p>
    <w:p w:rsidR="004A3013" w:rsidRDefault="004A3013" w:rsidP="004A3013">
      <w:pPr>
        <w:pStyle w:val="ListParagraph"/>
      </w:pPr>
    </w:p>
    <w:p w:rsidR="004A3013" w:rsidRDefault="008018FD" w:rsidP="004A3013">
      <w:pPr>
        <w:pStyle w:val="ListParagraph"/>
        <w:numPr>
          <w:ilvl w:val="0"/>
          <w:numId w:val="1"/>
        </w:numPr>
      </w:pPr>
      <w:r>
        <w:t>Enable Macros by clicking the ‘Enable Content’ button</w:t>
      </w:r>
      <w:r w:rsidR="00F72339">
        <w:t xml:space="preserve"> and make sure workbook is displaying the ‘Input MOE’ tab.</w:t>
      </w:r>
    </w:p>
    <w:p w:rsidR="004A3013" w:rsidRDefault="004A3013" w:rsidP="004A3013">
      <w:pPr>
        <w:pStyle w:val="ListParagraph"/>
      </w:pPr>
    </w:p>
    <w:p w:rsidR="004A3013" w:rsidRDefault="008018FD" w:rsidP="004A3013">
      <w:pPr>
        <w:pStyle w:val="ListParagraph"/>
        <w:numPr>
          <w:ilvl w:val="0"/>
          <w:numId w:val="1"/>
        </w:numPr>
      </w:pPr>
      <w:r>
        <w:t>Determine and review the following data before continuing. Make sure all of the following have been determined before p</w:t>
      </w:r>
      <w:r w:rsidR="004A3013">
        <w:t>lugging anything into the model</w:t>
      </w:r>
    </w:p>
    <w:p w:rsidR="004A3013" w:rsidRDefault="004A3013" w:rsidP="004A3013">
      <w:pPr>
        <w:pStyle w:val="ListParagraph"/>
      </w:pPr>
    </w:p>
    <w:p w:rsidR="008018FD" w:rsidRDefault="008018FD" w:rsidP="008018FD">
      <w:pPr>
        <w:pStyle w:val="ListParagraph"/>
        <w:numPr>
          <w:ilvl w:val="0"/>
          <w:numId w:val="2"/>
        </w:numPr>
      </w:pPr>
      <w:r w:rsidRPr="004A3013">
        <w:rPr>
          <w:b/>
        </w:rPr>
        <w:t>Measures of Effectiveness (Criteria):</w:t>
      </w:r>
      <w:r>
        <w:t xml:space="preserve"> These are your measures or tests which reflect the degree of attainment of particular objectives.</w:t>
      </w:r>
      <w:r w:rsidR="00E41F9C">
        <w:t xml:space="preserve"> Enter as a text name in the model.</w:t>
      </w:r>
    </w:p>
    <w:p w:rsidR="008018FD" w:rsidRDefault="008018FD" w:rsidP="008018FD">
      <w:pPr>
        <w:pStyle w:val="ListParagraph"/>
        <w:numPr>
          <w:ilvl w:val="0"/>
          <w:numId w:val="2"/>
        </w:numPr>
      </w:pPr>
      <w:r w:rsidRPr="004A3013">
        <w:rPr>
          <w:b/>
        </w:rPr>
        <w:t>Weight</w:t>
      </w:r>
      <w:r w:rsidR="00E41F9C" w:rsidRPr="004A3013">
        <w:rPr>
          <w:b/>
        </w:rPr>
        <w:t>:</w:t>
      </w:r>
      <w:r w:rsidR="00E41F9C">
        <w:t xml:space="preserve"> This is the percentage weight that each Measure of Effectiveness has on the final project. Enter as a fraction of one, using a decimal point.</w:t>
      </w:r>
      <w:r w:rsidR="00C52CF7">
        <w:t xml:space="preserve"> </w:t>
      </w:r>
      <w:r w:rsidR="00C52CF7" w:rsidRPr="004A3013">
        <w:rPr>
          <w:b/>
          <w:i/>
        </w:rPr>
        <w:t>The sum should always equal 1</w:t>
      </w:r>
      <w:r w:rsidR="004A3013">
        <w:rPr>
          <w:b/>
          <w:i/>
        </w:rPr>
        <w:t>.0</w:t>
      </w:r>
      <w:r w:rsidR="00C52CF7" w:rsidRPr="004A3013">
        <w:rPr>
          <w:b/>
          <w:i/>
        </w:rPr>
        <w:t>.</w:t>
      </w:r>
    </w:p>
    <w:p w:rsidR="00E41F9C" w:rsidRDefault="00E41F9C" w:rsidP="008018FD">
      <w:pPr>
        <w:pStyle w:val="ListParagraph"/>
        <w:numPr>
          <w:ilvl w:val="0"/>
          <w:numId w:val="2"/>
        </w:numPr>
      </w:pPr>
      <w:r w:rsidRPr="004A3013">
        <w:rPr>
          <w:b/>
        </w:rPr>
        <w:t>Value Sign:</w:t>
      </w:r>
      <w:r>
        <w:t xml:space="preserve"> This identifies whether the Measure of Effectiveness has a negative or positive </w:t>
      </w:r>
      <w:r w:rsidR="00277339">
        <w:t>effect on</w:t>
      </w:r>
      <w:r>
        <w:t xml:space="preserve"> the value of the project. Enter +1 if the </w:t>
      </w:r>
      <w:r>
        <w:rPr>
          <w:i/>
        </w:rPr>
        <w:t>value</w:t>
      </w:r>
      <w:r>
        <w:t xml:space="preserve"> of the project increases as the </w:t>
      </w:r>
      <w:r w:rsidR="004F6751">
        <w:t>Measure of Effectiveness score increases. Enter -1 if the value of the project decreases as the Measure of Effectiveness score increases. Choose one of these options from</w:t>
      </w:r>
      <w:r w:rsidR="00185C34">
        <w:t xml:space="preserve"> the drop down list in each row (See </w:t>
      </w:r>
      <w:r w:rsidR="00185C34" w:rsidRPr="008672F2">
        <w:rPr>
          <w:i/>
        </w:rPr>
        <w:t xml:space="preserve">Figure 1 </w:t>
      </w:r>
      <w:r w:rsidR="00185C34">
        <w:t>below).</w:t>
      </w:r>
    </w:p>
    <w:p w:rsidR="004F6751" w:rsidRDefault="004F6751" w:rsidP="008018FD">
      <w:pPr>
        <w:pStyle w:val="ListParagraph"/>
        <w:numPr>
          <w:ilvl w:val="0"/>
          <w:numId w:val="2"/>
        </w:numPr>
      </w:pPr>
      <w:r w:rsidRPr="004A3013">
        <w:rPr>
          <w:b/>
        </w:rPr>
        <w:t>Alternative Options:</w:t>
      </w:r>
      <w:r>
        <w:t xml:space="preserve"> These are the different proposed solutions to complete the project. Enter as a text name in the model. </w:t>
      </w:r>
    </w:p>
    <w:p w:rsidR="004F6751" w:rsidRDefault="004F6751" w:rsidP="004F6751">
      <w:pPr>
        <w:pStyle w:val="ListParagraph"/>
        <w:numPr>
          <w:ilvl w:val="0"/>
          <w:numId w:val="2"/>
        </w:numPr>
      </w:pPr>
      <w:r w:rsidRPr="004A3013">
        <w:rPr>
          <w:b/>
        </w:rPr>
        <w:t>Measure of Effectiveness Scores:</w:t>
      </w:r>
      <w:r>
        <w:t xml:space="preserve"> These are the </w:t>
      </w:r>
      <w:r w:rsidR="00F72339">
        <w:t xml:space="preserve">raw data numbers </w:t>
      </w:r>
      <w:r>
        <w:t xml:space="preserve">that have been determined for each Measure of Effectiveness for each Alternative Option. These will be entered </w:t>
      </w:r>
      <w:r w:rsidR="00DD7FA8">
        <w:t>during Step 7</w:t>
      </w:r>
      <w:r>
        <w:t>.</w:t>
      </w:r>
    </w:p>
    <w:p w:rsidR="004A3013" w:rsidRDefault="004A3013" w:rsidP="004A3013">
      <w:pPr>
        <w:pStyle w:val="ListParagraph"/>
        <w:ind w:left="1080"/>
      </w:pPr>
    </w:p>
    <w:p w:rsidR="004F6751" w:rsidRDefault="004F6751" w:rsidP="00F72339">
      <w:pPr>
        <w:pStyle w:val="ListParagraph"/>
        <w:numPr>
          <w:ilvl w:val="0"/>
          <w:numId w:val="1"/>
        </w:numPr>
      </w:pPr>
      <w:r>
        <w:t>Carefully enter each Measure of Effectiveness, along with its correlating Weight an</w:t>
      </w:r>
      <w:r w:rsidR="00F72339">
        <w:t>d Value Sign. Click the ‘Add Measure of Effectiveness</w:t>
      </w:r>
      <w:r>
        <w:t xml:space="preserve">’ button to create additional rows in the table for additional Measures of Effectiveness. To delete a row, right click </w:t>
      </w:r>
      <w:r w:rsidR="00185C34">
        <w:t xml:space="preserve">anywhere </w:t>
      </w:r>
      <w:r>
        <w:t xml:space="preserve">on the row and select </w:t>
      </w:r>
      <w:r w:rsidRPr="00185C34">
        <w:rPr>
          <w:b/>
        </w:rPr>
        <w:t>Delete &gt; Delete Table Rows</w:t>
      </w:r>
      <w:r>
        <w:t>.</w:t>
      </w:r>
      <w:r w:rsidR="00F72339">
        <w:t xml:space="preserve"> It is okay to leave </w:t>
      </w:r>
      <w:r w:rsidR="00185C34">
        <w:t xml:space="preserve">table </w:t>
      </w:r>
      <w:r w:rsidR="00F72339">
        <w:t>rows blank below the complete list, but make sure there are no blank rows between two criteria.</w:t>
      </w:r>
    </w:p>
    <w:p w:rsidR="00F72339" w:rsidRDefault="00F72339" w:rsidP="00F72339">
      <w:pPr>
        <w:pStyle w:val="ListParagraph"/>
      </w:pPr>
    </w:p>
    <w:tbl>
      <w:tblPr>
        <w:tblW w:w="7840" w:type="dxa"/>
        <w:jc w:val="center"/>
        <w:tblLook w:val="04A0" w:firstRow="1" w:lastRow="0" w:firstColumn="1" w:lastColumn="0" w:noHBand="0" w:noVBand="1"/>
      </w:tblPr>
      <w:tblGrid>
        <w:gridCol w:w="4520"/>
        <w:gridCol w:w="1300"/>
        <w:gridCol w:w="2020"/>
      </w:tblGrid>
      <w:tr w:rsidR="00557BFC" w:rsidRPr="00557BFC" w:rsidTr="008672F2">
        <w:trPr>
          <w:trHeight w:val="278"/>
          <w:jc w:val="center"/>
        </w:trPr>
        <w:tc>
          <w:tcPr>
            <w:tcW w:w="4520" w:type="dxa"/>
            <w:tcBorders>
              <w:top w:val="single" w:sz="4" w:space="0" w:color="1579F2"/>
              <w:left w:val="single" w:sz="4" w:space="0" w:color="1579F2"/>
              <w:bottom w:val="single" w:sz="4" w:space="0" w:color="1579F2"/>
              <w:right w:val="nil"/>
            </w:tcBorders>
            <w:shd w:val="clear" w:color="052F61" w:fill="052F61"/>
            <w:noWrap/>
            <w:vAlign w:val="bottom"/>
            <w:hideMark/>
          </w:tcPr>
          <w:p w:rsidR="00557BFC" w:rsidRPr="00557BFC" w:rsidRDefault="00557BFC" w:rsidP="00557BFC">
            <w:pPr>
              <w:spacing w:after="0" w:line="240" w:lineRule="auto"/>
              <w:jc w:val="center"/>
              <w:rPr>
                <w:rFonts w:ascii="Century Gothic" w:eastAsia="Times New Roman" w:hAnsi="Century Gothic" w:cs="Times New Roman"/>
                <w:b/>
                <w:bCs/>
                <w:color w:val="FFFFFF"/>
              </w:rPr>
            </w:pPr>
            <w:r w:rsidRPr="00557BFC">
              <w:rPr>
                <w:rFonts w:ascii="Century Gothic" w:eastAsia="Times New Roman" w:hAnsi="Century Gothic" w:cs="Times New Roman"/>
                <w:b/>
                <w:bCs/>
                <w:color w:val="FFFFFF"/>
              </w:rPr>
              <w:t>Measure of Effectiveness (Criteria)</w:t>
            </w:r>
          </w:p>
        </w:tc>
        <w:tc>
          <w:tcPr>
            <w:tcW w:w="1300" w:type="dxa"/>
            <w:tcBorders>
              <w:top w:val="single" w:sz="4" w:space="0" w:color="1579F2"/>
              <w:left w:val="nil"/>
              <w:bottom w:val="single" w:sz="4" w:space="0" w:color="1579F2"/>
              <w:right w:val="single" w:sz="4" w:space="0" w:color="1579F2"/>
            </w:tcBorders>
            <w:shd w:val="clear" w:color="052F61" w:fill="052F61"/>
            <w:noWrap/>
            <w:vAlign w:val="bottom"/>
            <w:hideMark/>
          </w:tcPr>
          <w:p w:rsidR="00557BFC" w:rsidRPr="00557BFC" w:rsidRDefault="00557BFC" w:rsidP="00557BFC">
            <w:pPr>
              <w:spacing w:after="0" w:line="240" w:lineRule="auto"/>
              <w:jc w:val="center"/>
              <w:rPr>
                <w:rFonts w:ascii="Century Gothic" w:eastAsia="Times New Roman" w:hAnsi="Century Gothic" w:cs="Times New Roman"/>
                <w:b/>
                <w:bCs/>
                <w:color w:val="FFFFFF"/>
              </w:rPr>
            </w:pPr>
            <w:r w:rsidRPr="00557BFC">
              <w:rPr>
                <w:rFonts w:ascii="Century Gothic" w:eastAsia="Times New Roman" w:hAnsi="Century Gothic" w:cs="Times New Roman"/>
                <w:b/>
                <w:bCs/>
                <w:color w:val="FFFFFF"/>
              </w:rPr>
              <w:t>Weight</w:t>
            </w:r>
          </w:p>
        </w:tc>
        <w:tc>
          <w:tcPr>
            <w:tcW w:w="2020" w:type="dxa"/>
            <w:tcBorders>
              <w:top w:val="single" w:sz="4" w:space="0" w:color="1579F2"/>
              <w:left w:val="nil"/>
              <w:bottom w:val="single" w:sz="4" w:space="0" w:color="1579F2"/>
              <w:right w:val="single" w:sz="4" w:space="0" w:color="1579F2"/>
            </w:tcBorders>
            <w:shd w:val="clear" w:color="052F61" w:fill="052F61"/>
            <w:noWrap/>
            <w:vAlign w:val="bottom"/>
            <w:hideMark/>
          </w:tcPr>
          <w:p w:rsidR="00557BFC" w:rsidRPr="00557BFC" w:rsidRDefault="00557BFC" w:rsidP="00557BFC">
            <w:pPr>
              <w:spacing w:after="0" w:line="240" w:lineRule="auto"/>
              <w:jc w:val="center"/>
              <w:rPr>
                <w:rFonts w:ascii="Century Gothic" w:eastAsia="Times New Roman" w:hAnsi="Century Gothic" w:cs="Times New Roman"/>
                <w:b/>
                <w:bCs/>
                <w:color w:val="FFFFFF"/>
              </w:rPr>
            </w:pPr>
            <w:r w:rsidRPr="00557BFC">
              <w:rPr>
                <w:rFonts w:ascii="Century Gothic" w:eastAsia="Times New Roman" w:hAnsi="Century Gothic" w:cs="Times New Roman"/>
                <w:b/>
                <w:bCs/>
                <w:color w:val="FFFFFF"/>
              </w:rPr>
              <w:t>Value Sign</w:t>
            </w:r>
          </w:p>
        </w:tc>
      </w:tr>
      <w:tr w:rsidR="00557BFC" w:rsidRPr="00557BFC" w:rsidTr="008672F2">
        <w:trPr>
          <w:trHeight w:val="197"/>
          <w:jc w:val="center"/>
        </w:trPr>
        <w:tc>
          <w:tcPr>
            <w:tcW w:w="4520" w:type="dxa"/>
            <w:tcBorders>
              <w:top w:val="nil"/>
              <w:left w:val="single" w:sz="4" w:space="0" w:color="1579F2"/>
              <w:bottom w:val="single" w:sz="4" w:space="0" w:color="1579F2"/>
              <w:right w:val="nil"/>
            </w:tcBorders>
            <w:shd w:val="clear" w:color="B0D2FB" w:fill="B0D2FB"/>
            <w:noWrap/>
            <w:vAlign w:val="bottom"/>
            <w:hideMark/>
          </w:tcPr>
          <w:p w:rsidR="00557BFC" w:rsidRPr="00557BFC" w:rsidRDefault="00557BFC" w:rsidP="00557BFC">
            <w:pPr>
              <w:spacing w:after="0" w:line="240" w:lineRule="auto"/>
              <w:rPr>
                <w:rFonts w:ascii="Century Gothic" w:eastAsia="Times New Roman" w:hAnsi="Century Gothic" w:cs="Times New Roman"/>
                <w:color w:val="000000"/>
              </w:rPr>
            </w:pPr>
            <w:r w:rsidRPr="00557BFC">
              <w:rPr>
                <w:rFonts w:ascii="Century Gothic" w:eastAsia="Times New Roman" w:hAnsi="Century Gothic" w:cs="Times New Roman"/>
                <w:color w:val="000000"/>
              </w:rPr>
              <w:t>Funding Potential</w:t>
            </w:r>
          </w:p>
        </w:tc>
        <w:tc>
          <w:tcPr>
            <w:tcW w:w="1300" w:type="dxa"/>
            <w:tcBorders>
              <w:top w:val="nil"/>
              <w:left w:val="nil"/>
              <w:bottom w:val="single" w:sz="4" w:space="0" w:color="1579F2"/>
              <w:right w:val="nil"/>
            </w:tcBorders>
            <w:shd w:val="clear" w:color="B0D2FB" w:fill="B0D2FB"/>
            <w:noWrap/>
            <w:vAlign w:val="bottom"/>
            <w:hideMark/>
          </w:tcPr>
          <w:p w:rsidR="00557BFC" w:rsidRPr="00557BFC" w:rsidRDefault="00557BFC" w:rsidP="00557BFC">
            <w:pPr>
              <w:spacing w:after="0" w:line="240" w:lineRule="auto"/>
              <w:jc w:val="right"/>
              <w:rPr>
                <w:rFonts w:ascii="Century Gothic" w:eastAsia="Times New Roman" w:hAnsi="Century Gothic" w:cs="Times New Roman"/>
                <w:color w:val="000000"/>
              </w:rPr>
            </w:pPr>
            <w:r w:rsidRPr="00557BFC">
              <w:rPr>
                <w:rFonts w:ascii="Century Gothic" w:eastAsia="Times New Roman" w:hAnsi="Century Gothic" w:cs="Times New Roman"/>
                <w:color w:val="000000"/>
              </w:rPr>
              <w:t>0.</w:t>
            </w:r>
            <w:r>
              <w:rPr>
                <w:rFonts w:ascii="Century Gothic" w:eastAsia="Times New Roman" w:hAnsi="Century Gothic" w:cs="Times New Roman"/>
                <w:color w:val="000000"/>
              </w:rPr>
              <w:t>25</w:t>
            </w:r>
          </w:p>
        </w:tc>
        <w:tc>
          <w:tcPr>
            <w:tcW w:w="2020" w:type="dxa"/>
            <w:tcBorders>
              <w:top w:val="nil"/>
              <w:left w:val="nil"/>
              <w:bottom w:val="single" w:sz="4" w:space="0" w:color="1579F2"/>
              <w:right w:val="single" w:sz="4" w:space="0" w:color="1579F2"/>
            </w:tcBorders>
            <w:shd w:val="clear" w:color="B0D2FB" w:fill="B0D2FB"/>
            <w:noWrap/>
            <w:vAlign w:val="bottom"/>
            <w:hideMark/>
          </w:tcPr>
          <w:p w:rsidR="00557BFC" w:rsidRPr="00557BFC" w:rsidRDefault="00557BFC" w:rsidP="00557BFC">
            <w:pPr>
              <w:spacing w:after="0" w:line="240" w:lineRule="auto"/>
              <w:jc w:val="center"/>
              <w:rPr>
                <w:rFonts w:ascii="Century Gothic" w:eastAsia="Times New Roman" w:hAnsi="Century Gothic" w:cs="Times New Roman"/>
                <w:color w:val="000000"/>
              </w:rPr>
            </w:pPr>
            <w:r w:rsidRPr="00557BFC">
              <w:rPr>
                <w:rFonts w:ascii="Century Gothic" w:eastAsia="Times New Roman" w:hAnsi="Century Gothic" w:cs="Times New Roman"/>
                <w:color w:val="000000"/>
              </w:rPr>
              <w:t>+1</w:t>
            </w:r>
          </w:p>
        </w:tc>
      </w:tr>
      <w:tr w:rsidR="00557BFC" w:rsidRPr="00557BFC" w:rsidTr="008672F2">
        <w:trPr>
          <w:trHeight w:val="233"/>
          <w:jc w:val="center"/>
        </w:trPr>
        <w:tc>
          <w:tcPr>
            <w:tcW w:w="4520" w:type="dxa"/>
            <w:tcBorders>
              <w:top w:val="nil"/>
              <w:left w:val="single" w:sz="4" w:space="0" w:color="1579F2"/>
              <w:bottom w:val="single" w:sz="4" w:space="0" w:color="1579F2"/>
              <w:right w:val="nil"/>
            </w:tcBorders>
            <w:shd w:val="clear" w:color="auto" w:fill="auto"/>
            <w:noWrap/>
            <w:vAlign w:val="bottom"/>
            <w:hideMark/>
          </w:tcPr>
          <w:p w:rsidR="00557BFC" w:rsidRPr="00557BFC" w:rsidRDefault="00557BFC" w:rsidP="00557BFC">
            <w:pPr>
              <w:spacing w:after="0" w:line="240" w:lineRule="auto"/>
              <w:rPr>
                <w:rFonts w:ascii="Century Gothic" w:eastAsia="Times New Roman" w:hAnsi="Century Gothic" w:cs="Times New Roman"/>
                <w:color w:val="000000"/>
              </w:rPr>
            </w:pPr>
            <w:r w:rsidRPr="00557BFC">
              <w:rPr>
                <w:rFonts w:ascii="Century Gothic" w:eastAsia="Times New Roman" w:hAnsi="Century Gothic" w:cs="Times New Roman"/>
                <w:color w:val="000000"/>
              </w:rPr>
              <w:t>Total Cost</w:t>
            </w:r>
          </w:p>
        </w:tc>
        <w:tc>
          <w:tcPr>
            <w:tcW w:w="1300" w:type="dxa"/>
            <w:tcBorders>
              <w:top w:val="nil"/>
              <w:left w:val="nil"/>
              <w:bottom w:val="single" w:sz="4" w:space="0" w:color="1579F2"/>
              <w:right w:val="nil"/>
            </w:tcBorders>
            <w:shd w:val="clear" w:color="auto" w:fill="auto"/>
            <w:noWrap/>
            <w:vAlign w:val="bottom"/>
            <w:hideMark/>
          </w:tcPr>
          <w:p w:rsidR="00557BFC" w:rsidRPr="00557BFC" w:rsidRDefault="00557BFC" w:rsidP="00557BFC">
            <w:pPr>
              <w:spacing w:after="0" w:line="240" w:lineRule="auto"/>
              <w:jc w:val="right"/>
              <w:rPr>
                <w:rFonts w:ascii="Century Gothic" w:eastAsia="Times New Roman" w:hAnsi="Century Gothic" w:cs="Times New Roman"/>
                <w:color w:val="000000"/>
              </w:rPr>
            </w:pPr>
            <w:r w:rsidRPr="00557BFC">
              <w:rPr>
                <w:rFonts w:ascii="Century Gothic" w:eastAsia="Times New Roman" w:hAnsi="Century Gothic" w:cs="Times New Roman"/>
                <w:color w:val="000000"/>
              </w:rPr>
              <w:t>0.</w:t>
            </w:r>
            <w:r>
              <w:rPr>
                <w:rFonts w:ascii="Century Gothic" w:eastAsia="Times New Roman" w:hAnsi="Century Gothic" w:cs="Times New Roman"/>
                <w:color w:val="000000"/>
              </w:rPr>
              <w:t>25</w:t>
            </w:r>
          </w:p>
        </w:tc>
        <w:tc>
          <w:tcPr>
            <w:tcW w:w="2020" w:type="dxa"/>
            <w:tcBorders>
              <w:top w:val="nil"/>
              <w:left w:val="nil"/>
              <w:bottom w:val="single" w:sz="4" w:space="0" w:color="1579F2"/>
              <w:right w:val="single" w:sz="4" w:space="0" w:color="1579F2"/>
            </w:tcBorders>
            <w:shd w:val="clear" w:color="auto" w:fill="auto"/>
            <w:noWrap/>
            <w:vAlign w:val="bottom"/>
            <w:hideMark/>
          </w:tcPr>
          <w:p w:rsidR="00557BFC" w:rsidRPr="00557BFC" w:rsidRDefault="00557BFC" w:rsidP="00557BFC">
            <w:pPr>
              <w:spacing w:after="0" w:line="240" w:lineRule="auto"/>
              <w:jc w:val="center"/>
              <w:rPr>
                <w:rFonts w:ascii="Century Gothic" w:eastAsia="Times New Roman" w:hAnsi="Century Gothic" w:cs="Times New Roman"/>
                <w:color w:val="000000"/>
              </w:rPr>
            </w:pPr>
            <w:r w:rsidRPr="00557BFC">
              <w:rPr>
                <w:rFonts w:ascii="Century Gothic" w:eastAsia="Times New Roman" w:hAnsi="Century Gothic" w:cs="Times New Roman"/>
                <w:color w:val="000000"/>
              </w:rPr>
              <w:t>-1</w:t>
            </w:r>
          </w:p>
        </w:tc>
      </w:tr>
      <w:tr w:rsidR="00557BFC" w:rsidRPr="00557BFC" w:rsidTr="008672F2">
        <w:trPr>
          <w:trHeight w:val="242"/>
          <w:jc w:val="center"/>
        </w:trPr>
        <w:tc>
          <w:tcPr>
            <w:tcW w:w="4520" w:type="dxa"/>
            <w:tcBorders>
              <w:top w:val="nil"/>
              <w:left w:val="single" w:sz="4" w:space="0" w:color="1579F2"/>
              <w:bottom w:val="single" w:sz="4" w:space="0" w:color="1579F2"/>
              <w:right w:val="nil"/>
            </w:tcBorders>
            <w:shd w:val="clear" w:color="B0D2FB" w:fill="B0D2FB"/>
            <w:noWrap/>
            <w:vAlign w:val="bottom"/>
            <w:hideMark/>
          </w:tcPr>
          <w:p w:rsidR="00557BFC" w:rsidRPr="00557BFC" w:rsidRDefault="00557BFC" w:rsidP="00557BFC">
            <w:pPr>
              <w:spacing w:after="0" w:line="240" w:lineRule="auto"/>
              <w:rPr>
                <w:rFonts w:ascii="Century Gothic" w:eastAsia="Times New Roman" w:hAnsi="Century Gothic" w:cs="Times New Roman"/>
                <w:color w:val="000000"/>
              </w:rPr>
            </w:pPr>
            <w:r w:rsidRPr="00557BFC">
              <w:rPr>
                <w:rFonts w:ascii="Century Gothic" w:eastAsia="Times New Roman" w:hAnsi="Century Gothic" w:cs="Times New Roman"/>
                <w:color w:val="000000"/>
              </w:rPr>
              <w:t>Predicted Accident Reduction</w:t>
            </w:r>
          </w:p>
        </w:tc>
        <w:tc>
          <w:tcPr>
            <w:tcW w:w="1300" w:type="dxa"/>
            <w:tcBorders>
              <w:top w:val="nil"/>
              <w:left w:val="nil"/>
              <w:bottom w:val="single" w:sz="4" w:space="0" w:color="1579F2"/>
              <w:right w:val="nil"/>
            </w:tcBorders>
            <w:shd w:val="clear" w:color="B0D2FB" w:fill="B0D2FB"/>
            <w:noWrap/>
            <w:vAlign w:val="bottom"/>
            <w:hideMark/>
          </w:tcPr>
          <w:p w:rsidR="00557BFC" w:rsidRPr="00557BFC" w:rsidRDefault="00557BFC" w:rsidP="00557BFC">
            <w:pPr>
              <w:spacing w:after="0" w:line="240" w:lineRule="auto"/>
              <w:jc w:val="right"/>
              <w:rPr>
                <w:rFonts w:ascii="Century Gothic" w:eastAsia="Times New Roman" w:hAnsi="Century Gothic" w:cs="Times New Roman"/>
                <w:color w:val="000000"/>
              </w:rPr>
            </w:pPr>
            <w:r w:rsidRPr="00557BFC">
              <w:rPr>
                <w:rFonts w:ascii="Century Gothic" w:eastAsia="Times New Roman" w:hAnsi="Century Gothic" w:cs="Times New Roman"/>
                <w:color w:val="000000"/>
              </w:rPr>
              <w:t>0.</w:t>
            </w:r>
            <w:r>
              <w:rPr>
                <w:rFonts w:ascii="Century Gothic" w:eastAsia="Times New Roman" w:hAnsi="Century Gothic" w:cs="Times New Roman"/>
                <w:color w:val="000000"/>
              </w:rPr>
              <w:t>25</w:t>
            </w:r>
          </w:p>
        </w:tc>
        <w:tc>
          <w:tcPr>
            <w:tcW w:w="2020" w:type="dxa"/>
            <w:tcBorders>
              <w:top w:val="nil"/>
              <w:left w:val="nil"/>
              <w:bottom w:val="single" w:sz="4" w:space="0" w:color="1579F2"/>
              <w:right w:val="single" w:sz="4" w:space="0" w:color="1579F2"/>
            </w:tcBorders>
            <w:shd w:val="clear" w:color="B0D2FB" w:fill="B0D2FB"/>
            <w:noWrap/>
            <w:vAlign w:val="bottom"/>
            <w:hideMark/>
          </w:tcPr>
          <w:p w:rsidR="00557BFC" w:rsidRPr="00557BFC" w:rsidRDefault="00557BFC" w:rsidP="00557BFC">
            <w:pPr>
              <w:spacing w:after="0" w:line="240" w:lineRule="auto"/>
              <w:jc w:val="center"/>
              <w:rPr>
                <w:rFonts w:ascii="Century Gothic" w:eastAsia="Times New Roman" w:hAnsi="Century Gothic" w:cs="Times New Roman"/>
                <w:color w:val="000000"/>
              </w:rPr>
            </w:pPr>
            <w:r w:rsidRPr="00557BFC">
              <w:rPr>
                <w:rFonts w:ascii="Century Gothic" w:eastAsia="Times New Roman" w:hAnsi="Century Gothic" w:cs="Times New Roman"/>
                <w:color w:val="000000"/>
              </w:rPr>
              <w:t>+1</w:t>
            </w:r>
          </w:p>
        </w:tc>
      </w:tr>
      <w:tr w:rsidR="00557BFC" w:rsidRPr="00557BFC" w:rsidTr="008672F2">
        <w:trPr>
          <w:trHeight w:val="80"/>
          <w:jc w:val="center"/>
        </w:trPr>
        <w:tc>
          <w:tcPr>
            <w:tcW w:w="4520" w:type="dxa"/>
            <w:tcBorders>
              <w:top w:val="nil"/>
              <w:left w:val="single" w:sz="4" w:space="0" w:color="1579F2"/>
              <w:bottom w:val="single" w:sz="4" w:space="0" w:color="1579F2"/>
              <w:right w:val="nil"/>
            </w:tcBorders>
            <w:shd w:val="clear" w:color="auto" w:fill="auto"/>
            <w:noWrap/>
            <w:vAlign w:val="bottom"/>
            <w:hideMark/>
          </w:tcPr>
          <w:p w:rsidR="00557BFC" w:rsidRPr="00557BFC" w:rsidRDefault="00557BFC" w:rsidP="00557BFC">
            <w:pPr>
              <w:spacing w:after="0" w:line="240" w:lineRule="auto"/>
              <w:rPr>
                <w:rFonts w:ascii="Century Gothic" w:eastAsia="Times New Roman" w:hAnsi="Century Gothic" w:cs="Times New Roman"/>
                <w:color w:val="000000"/>
              </w:rPr>
            </w:pPr>
            <w:r w:rsidRPr="00557BFC">
              <w:rPr>
                <w:rFonts w:ascii="Century Gothic" w:eastAsia="Times New Roman" w:hAnsi="Century Gothic" w:cs="Times New Roman"/>
                <w:color w:val="000000"/>
              </w:rPr>
              <w:t>Acres of Wetland Impacted</w:t>
            </w:r>
          </w:p>
        </w:tc>
        <w:tc>
          <w:tcPr>
            <w:tcW w:w="1300" w:type="dxa"/>
            <w:tcBorders>
              <w:top w:val="nil"/>
              <w:left w:val="nil"/>
              <w:bottom w:val="single" w:sz="4" w:space="0" w:color="1579F2"/>
              <w:right w:val="nil"/>
            </w:tcBorders>
            <w:shd w:val="clear" w:color="auto" w:fill="auto"/>
            <w:noWrap/>
            <w:vAlign w:val="bottom"/>
            <w:hideMark/>
          </w:tcPr>
          <w:p w:rsidR="00557BFC" w:rsidRPr="00557BFC" w:rsidRDefault="00557BFC" w:rsidP="00557BFC">
            <w:pPr>
              <w:spacing w:after="0" w:line="240" w:lineRule="auto"/>
              <w:jc w:val="right"/>
              <w:rPr>
                <w:rFonts w:ascii="Century Gothic" w:eastAsia="Times New Roman" w:hAnsi="Century Gothic" w:cs="Times New Roman"/>
                <w:color w:val="000000"/>
              </w:rPr>
            </w:pPr>
            <w:r w:rsidRPr="00557BFC">
              <w:rPr>
                <w:rFonts w:ascii="Century Gothic" w:eastAsia="Times New Roman" w:hAnsi="Century Gothic" w:cs="Times New Roman"/>
                <w:color w:val="000000"/>
              </w:rPr>
              <w:t>0.</w:t>
            </w:r>
            <w:r>
              <w:rPr>
                <w:rFonts w:ascii="Century Gothic" w:eastAsia="Times New Roman" w:hAnsi="Century Gothic" w:cs="Times New Roman"/>
                <w:color w:val="000000"/>
              </w:rPr>
              <w:t>25</w:t>
            </w:r>
          </w:p>
        </w:tc>
        <w:tc>
          <w:tcPr>
            <w:tcW w:w="2020" w:type="dxa"/>
            <w:tcBorders>
              <w:top w:val="nil"/>
              <w:left w:val="nil"/>
              <w:bottom w:val="single" w:sz="4" w:space="0" w:color="1579F2"/>
              <w:right w:val="single" w:sz="4" w:space="0" w:color="1579F2"/>
            </w:tcBorders>
            <w:shd w:val="clear" w:color="auto" w:fill="auto"/>
            <w:noWrap/>
            <w:vAlign w:val="bottom"/>
            <w:hideMark/>
          </w:tcPr>
          <w:p w:rsidR="00557BFC" w:rsidRPr="00557BFC" w:rsidRDefault="00557BFC" w:rsidP="00557BFC">
            <w:pPr>
              <w:spacing w:after="0" w:line="240" w:lineRule="auto"/>
              <w:jc w:val="center"/>
              <w:rPr>
                <w:rFonts w:ascii="Century Gothic" w:eastAsia="Times New Roman" w:hAnsi="Century Gothic" w:cs="Times New Roman"/>
                <w:color w:val="000000"/>
              </w:rPr>
            </w:pPr>
            <w:r w:rsidRPr="00557BFC">
              <w:rPr>
                <w:rFonts w:ascii="Century Gothic" w:eastAsia="Times New Roman" w:hAnsi="Century Gothic" w:cs="Times New Roman"/>
                <w:color w:val="000000"/>
              </w:rPr>
              <w:t>-1</w:t>
            </w:r>
          </w:p>
        </w:tc>
      </w:tr>
    </w:tbl>
    <w:p w:rsidR="00557BFC" w:rsidRPr="00C36F37" w:rsidRDefault="00557BFC" w:rsidP="000D090A">
      <w:pPr>
        <w:pStyle w:val="ListParagraph"/>
        <w:jc w:val="center"/>
        <w:rPr>
          <w:b/>
          <w:i/>
        </w:rPr>
      </w:pPr>
      <w:r w:rsidRPr="00C36F37">
        <w:rPr>
          <w:b/>
          <w:i/>
        </w:rPr>
        <w:t>Figure 1: Sample data entry</w:t>
      </w:r>
    </w:p>
    <w:p w:rsidR="008672F2" w:rsidRDefault="008672F2" w:rsidP="00557BFC">
      <w:pPr>
        <w:pStyle w:val="ListParagraph"/>
        <w:rPr>
          <w:i/>
        </w:rPr>
      </w:pPr>
    </w:p>
    <w:p w:rsidR="004A3013" w:rsidRPr="008672F2" w:rsidRDefault="008672F2" w:rsidP="008672F2">
      <w:pPr>
        <w:pStyle w:val="ListParagraph"/>
        <w:rPr>
          <w:i/>
        </w:rPr>
      </w:pPr>
      <w:r>
        <w:rPr>
          <w:i/>
        </w:rPr>
        <w:t xml:space="preserve">Figure 1 Description: </w:t>
      </w:r>
      <w:r w:rsidR="00557BFC" w:rsidRPr="000D090A">
        <w:rPr>
          <w:i/>
        </w:rPr>
        <w:t>Enter a new line for each Measure of Effectiveness, assign it a weight as a decimal of 1, and a value sign. The value sign indicates whether the value of the project increases or decreases as the value of the measure increases. For example, as the total cost of the project increases, the value of the project decreases, thus it is assigned a value of -1.  Whereas an increasing number of accidents reduced indicates that th</w:t>
      </w:r>
      <w:r w:rsidR="000D090A">
        <w:rPr>
          <w:i/>
        </w:rPr>
        <w:t>e value of the project goes up, so this measure is assigned a value of +1.</w:t>
      </w:r>
    </w:p>
    <w:p w:rsidR="004A3013" w:rsidRDefault="004F6751" w:rsidP="004A3013">
      <w:pPr>
        <w:pStyle w:val="ListParagraph"/>
        <w:numPr>
          <w:ilvl w:val="0"/>
          <w:numId w:val="1"/>
        </w:numPr>
      </w:pPr>
      <w:r>
        <w:lastRenderedPageBreak/>
        <w:t xml:space="preserve">Carefully enter each Alternative Option </w:t>
      </w:r>
      <w:r w:rsidR="00DD7FA8">
        <w:t xml:space="preserve">in the ‘Alternative Options’ table. Click the ‘Add Alternative’ button to create additional rows in the table for additional Alternatives. To delete a row, right click on the row and select </w:t>
      </w:r>
      <w:r w:rsidR="00DD7FA8" w:rsidRPr="008672F2">
        <w:rPr>
          <w:b/>
        </w:rPr>
        <w:t>Delete &gt; Delete Table Rows</w:t>
      </w:r>
      <w:r w:rsidR="00DD7FA8">
        <w:t>.</w:t>
      </w:r>
      <w:r w:rsidR="00F72339" w:rsidRPr="00F72339">
        <w:t xml:space="preserve"> </w:t>
      </w:r>
      <w:r w:rsidR="00F72339">
        <w:t>It is okay to leave rows blank below the complete list, but make sure there are no blank rows between two alternatives.</w:t>
      </w:r>
    </w:p>
    <w:p w:rsidR="004A3013" w:rsidRDefault="004A3013" w:rsidP="004A3013">
      <w:pPr>
        <w:pStyle w:val="ListParagraph"/>
      </w:pPr>
    </w:p>
    <w:p w:rsidR="004A3013" w:rsidRDefault="00DD7FA8" w:rsidP="004A3013">
      <w:pPr>
        <w:pStyle w:val="ListParagraph"/>
        <w:numPr>
          <w:ilvl w:val="0"/>
          <w:numId w:val="1"/>
        </w:numPr>
      </w:pPr>
      <w:r>
        <w:t xml:space="preserve">Once all data required by Steps 4 &amp; 5 </w:t>
      </w:r>
      <w:r w:rsidR="00D110F5">
        <w:t>have</w:t>
      </w:r>
      <w:r w:rsidR="00A273C2">
        <w:t xml:space="preserve"> been entered</w:t>
      </w:r>
      <w:r>
        <w:t xml:space="preserve">, click the ‘Create Matrix’ button. This will populate </w:t>
      </w:r>
      <w:r w:rsidR="008108A1">
        <w:t>another table</w:t>
      </w:r>
      <w:r>
        <w:t xml:space="preserve"> with the information y</w:t>
      </w:r>
      <w:r w:rsidR="00D110F5">
        <w:t>ou just entered in Steps 4 &amp; 5, and</w:t>
      </w:r>
      <w:r w:rsidR="00D110F5" w:rsidRPr="00D110F5">
        <w:t xml:space="preserve"> </w:t>
      </w:r>
      <w:r w:rsidR="008108A1">
        <w:t>will bring you to this</w:t>
      </w:r>
      <w:r w:rsidR="00D110F5">
        <w:t xml:space="preserve"> new table in the ‘Weight Matrix’ worksheet.</w:t>
      </w:r>
    </w:p>
    <w:p w:rsidR="004A3013" w:rsidRDefault="004A3013" w:rsidP="004A3013">
      <w:pPr>
        <w:pStyle w:val="ListParagraph"/>
      </w:pPr>
    </w:p>
    <w:p w:rsidR="004A3013" w:rsidRDefault="00A273C2" w:rsidP="004A3013">
      <w:pPr>
        <w:pStyle w:val="ListParagraph"/>
        <w:numPr>
          <w:ilvl w:val="0"/>
          <w:numId w:val="1"/>
        </w:numPr>
      </w:pPr>
      <w:r>
        <w:t xml:space="preserve">Enter each Measure of Effectiveness </w:t>
      </w:r>
      <w:r w:rsidR="00F47665">
        <w:t>Score</w:t>
      </w:r>
      <w:r>
        <w:t xml:space="preserve"> that applies to each Alternative Option. When finished, the entire table on the ‘Weight Matrix’ worksheet should be fi</w:t>
      </w:r>
      <w:r w:rsidR="00926E8F">
        <w:t>lled in</w:t>
      </w:r>
      <w:r>
        <w:t>.</w:t>
      </w:r>
      <w:r w:rsidR="00926E8F">
        <w:t xml:space="preserve"> </w:t>
      </w:r>
    </w:p>
    <w:p w:rsidR="004A3013" w:rsidRDefault="004A3013" w:rsidP="004A3013">
      <w:pPr>
        <w:pStyle w:val="ListParagraph"/>
      </w:pPr>
    </w:p>
    <w:p w:rsidR="00F528A5" w:rsidRDefault="00FA712B" w:rsidP="00F528A5">
      <w:pPr>
        <w:pStyle w:val="ListParagraph"/>
        <w:numPr>
          <w:ilvl w:val="0"/>
          <w:numId w:val="1"/>
        </w:numPr>
      </w:pPr>
      <w:r>
        <w:t>Click</w:t>
      </w:r>
      <w:r w:rsidR="00926E8F">
        <w:t xml:space="preserve"> the ‘</w:t>
      </w:r>
      <w:r w:rsidR="00D110F5">
        <w:t>Generate Final Ranking’</w:t>
      </w:r>
      <w:r w:rsidR="00A273C2">
        <w:t xml:space="preserve"> button. This </w:t>
      </w:r>
      <w:r w:rsidR="00176971">
        <w:t>will calculate and populate the tables in the ‘N</w:t>
      </w:r>
      <w:r w:rsidR="00A273C2">
        <w:t>ormalized</w:t>
      </w:r>
      <w:r w:rsidR="00176971">
        <w:t xml:space="preserve"> Values’</w:t>
      </w:r>
      <w:r w:rsidR="00A273C2">
        <w:t xml:space="preserve"> and </w:t>
      </w:r>
      <w:r w:rsidR="00176971">
        <w:t>‘Weighted V</w:t>
      </w:r>
      <w:r w:rsidR="00A273C2">
        <w:t>alues</w:t>
      </w:r>
      <w:r w:rsidR="00176971">
        <w:t>’ tabs, and rank</w:t>
      </w:r>
      <w:r w:rsidR="00A273C2">
        <w:t xml:space="preserve"> the final weighted scores from highest to lowest</w:t>
      </w:r>
      <w:r w:rsidR="00176971">
        <w:t xml:space="preserve"> on the ‘Ranking’ tab. You will end up on the ‘Ranking’ </w:t>
      </w:r>
      <w:r w:rsidR="00F528A5">
        <w:t>t</w:t>
      </w:r>
      <w:r w:rsidR="00176971">
        <w:t>ab</w:t>
      </w:r>
      <w:r w:rsidR="00F528A5">
        <w:t xml:space="preserve"> where your alternative o</w:t>
      </w:r>
      <w:r w:rsidR="00A273C2">
        <w:t>ptions will be ranked from highest to lowest.</w:t>
      </w:r>
    </w:p>
    <w:p w:rsidR="00F528A5" w:rsidRDefault="00F528A5" w:rsidP="00F528A5">
      <w:pPr>
        <w:pStyle w:val="ListParagraph"/>
      </w:pPr>
    </w:p>
    <w:p w:rsidR="00F528A5" w:rsidRDefault="00ED68B5" w:rsidP="00FE523F">
      <w:r w:rsidRPr="00FE523F">
        <w:rPr>
          <w:i/>
        </w:rPr>
        <w:t>Note 1</w:t>
      </w:r>
      <w:r>
        <w:t>: The ‘</w:t>
      </w:r>
      <w:r w:rsidR="00615637">
        <w:t>Final</w:t>
      </w:r>
      <w:r>
        <w:t xml:space="preserve"> Score’ column is the ‘</w:t>
      </w:r>
      <w:r w:rsidR="00615637">
        <w:t xml:space="preserve">Raw </w:t>
      </w:r>
      <w:r>
        <w:t>Score’ column multipli</w:t>
      </w:r>
      <w:r w:rsidR="00B95146">
        <w:t>ed by 100. This is done to create easier numbers to work</w:t>
      </w:r>
      <w:r>
        <w:t xml:space="preserve"> with when reviewing the final rankings.</w:t>
      </w:r>
    </w:p>
    <w:p w:rsidR="002435C3" w:rsidRDefault="00ED68B5" w:rsidP="00FE523F">
      <w:r w:rsidRPr="00FE523F">
        <w:rPr>
          <w:i/>
        </w:rPr>
        <w:t>Note 2:</w:t>
      </w:r>
      <w:r>
        <w:t xml:space="preserve"> Some or all </w:t>
      </w:r>
      <w:r w:rsidR="00615637">
        <w:t>final</w:t>
      </w:r>
      <w:r>
        <w:t xml:space="preserve"> scores may be negative, which means the overall value of the alternative is negative. However, the </w:t>
      </w:r>
      <w:r w:rsidR="004B005A">
        <w:t>magnitude</w:t>
      </w:r>
      <w:r>
        <w:t xml:space="preserve"> of the weighted score has no units, and is best interpreted as a relative value as compared to </w:t>
      </w:r>
      <w:r w:rsidR="004B005A">
        <w:t>the</w:t>
      </w:r>
      <w:r w:rsidR="00966258">
        <w:t xml:space="preserve"> other alternative’s values. This is better </w:t>
      </w:r>
      <w:r w:rsidR="004B005A">
        <w:t>illus</w:t>
      </w:r>
      <w:r w:rsidR="00966258">
        <w:t>trated by the normalized scores, which compares the final scores on a scale from 0 to 100.</w:t>
      </w:r>
    </w:p>
    <w:p w:rsidR="002435C3" w:rsidRDefault="002435C3" w:rsidP="00FE523F">
      <w:r w:rsidRPr="00FE523F">
        <w:rPr>
          <w:i/>
        </w:rPr>
        <w:t xml:space="preserve">Note 3: </w:t>
      </w:r>
      <w:r>
        <w:t>The ‘Normalized Values’ and ‘Weighted Values’ tabs are used for calculation of the final rankings. These tabs show intermediary steps in the final calculation and can be viewed if desired, though they are not necessary for understanding the final rankings.</w:t>
      </w:r>
    </w:p>
    <w:p w:rsidR="00FE523F" w:rsidRPr="002435C3" w:rsidRDefault="00FE523F" w:rsidP="00FE523F"/>
    <w:p w:rsidR="00E10D3A" w:rsidRPr="00E10D3A" w:rsidRDefault="00E10D3A" w:rsidP="00E10D3A">
      <w:pPr>
        <w:rPr>
          <w:b/>
        </w:rPr>
      </w:pPr>
      <w:r w:rsidRPr="00E10D3A">
        <w:rPr>
          <w:b/>
        </w:rPr>
        <w:t>Making Changes:</w:t>
      </w:r>
    </w:p>
    <w:p w:rsidR="0041615D" w:rsidRDefault="00926E8F" w:rsidP="00926E8F">
      <w:pPr>
        <w:pStyle w:val="ListParagraph"/>
        <w:numPr>
          <w:ilvl w:val="0"/>
          <w:numId w:val="1"/>
        </w:numPr>
      </w:pPr>
      <w:r>
        <w:t>If you wish to add or delete Measures of Effectiveness or Alternate Options</w:t>
      </w:r>
      <w:r w:rsidR="0041615D">
        <w:rPr>
          <w:b/>
        </w:rPr>
        <w:t xml:space="preserve"> </w:t>
      </w:r>
      <w:r w:rsidR="0041615D">
        <w:t>or change any other data that you entered, do the following:</w:t>
      </w:r>
    </w:p>
    <w:p w:rsidR="0041615D" w:rsidRDefault="0041615D" w:rsidP="0041615D">
      <w:pPr>
        <w:pStyle w:val="ListParagraph"/>
      </w:pPr>
    </w:p>
    <w:p w:rsidR="0041615D" w:rsidRDefault="0041615D" w:rsidP="0041615D">
      <w:pPr>
        <w:pStyle w:val="ListParagraph"/>
        <w:numPr>
          <w:ilvl w:val="1"/>
          <w:numId w:val="1"/>
        </w:numPr>
      </w:pPr>
      <w:r>
        <w:t>Make sure you have completed running the model. The reset will only work if you have pressed the ‘Generate Final Rankings’ button first. It is okay if you have not entered all the data, the model must finish this step even with zero values before it can reset. A message will appear if you attempt to reset before doing this.</w:t>
      </w:r>
    </w:p>
    <w:p w:rsidR="0041615D" w:rsidRDefault="0041615D" w:rsidP="0041615D">
      <w:pPr>
        <w:pStyle w:val="ListParagraph"/>
        <w:ind w:left="1440"/>
      </w:pPr>
    </w:p>
    <w:p w:rsidR="0041615D" w:rsidRDefault="0041615D" w:rsidP="0041615D">
      <w:pPr>
        <w:pStyle w:val="ListParagraph"/>
        <w:numPr>
          <w:ilvl w:val="1"/>
          <w:numId w:val="1"/>
        </w:numPr>
      </w:pPr>
      <w:r>
        <w:t xml:space="preserve">Go back to the ‘Input MOE’ tab and click the ‘Reset Matrix’ button. </w:t>
      </w:r>
      <w:r w:rsidR="00926E8F">
        <w:t xml:space="preserve">This will erase the data in all of the tables except for those on the ‘Input MOE’ tab. However, this button </w:t>
      </w:r>
      <w:r>
        <w:t>will also create a backup of any raw</w:t>
      </w:r>
      <w:r w:rsidR="00926E8F">
        <w:t xml:space="preserve"> data you </w:t>
      </w:r>
      <w:r w:rsidR="001A7930">
        <w:t xml:space="preserve">previously </w:t>
      </w:r>
      <w:r w:rsidR="00926E8F">
        <w:t>entered into the ‘Weight Matrix’ tab. This backup table is located on the ‘Weight Matrix Backup’</w:t>
      </w:r>
      <w:r w:rsidR="00DC6E37">
        <w:t xml:space="preserve"> </w:t>
      </w:r>
      <w:r>
        <w:t xml:space="preserve">tab. </w:t>
      </w:r>
    </w:p>
    <w:p w:rsidR="0041615D" w:rsidRDefault="0041615D" w:rsidP="0041615D">
      <w:pPr>
        <w:pStyle w:val="ListParagraph"/>
      </w:pPr>
    </w:p>
    <w:p w:rsidR="0041615D" w:rsidRDefault="0041615D" w:rsidP="0041615D">
      <w:pPr>
        <w:pStyle w:val="ListParagraph"/>
        <w:ind w:left="1440"/>
      </w:pPr>
    </w:p>
    <w:p w:rsidR="0041615D" w:rsidRDefault="0041615D" w:rsidP="0041615D">
      <w:pPr>
        <w:pStyle w:val="ListParagraph"/>
        <w:numPr>
          <w:ilvl w:val="1"/>
          <w:numId w:val="1"/>
        </w:numPr>
      </w:pPr>
      <w:r>
        <w:t>Once you have clicked</w:t>
      </w:r>
      <w:r w:rsidR="001A7930">
        <w:t xml:space="preserve"> the ‘Reset Matrix’ button, you may now add or delete items on the ‘Input MOE’ worksheet. </w:t>
      </w:r>
    </w:p>
    <w:p w:rsidR="0041615D" w:rsidRDefault="0041615D" w:rsidP="0041615D">
      <w:pPr>
        <w:pStyle w:val="ListParagraph"/>
        <w:ind w:left="1440"/>
      </w:pPr>
    </w:p>
    <w:p w:rsidR="003B1E14" w:rsidRDefault="001A7930" w:rsidP="0041615D">
      <w:pPr>
        <w:pStyle w:val="ListParagraph"/>
        <w:numPr>
          <w:ilvl w:val="1"/>
          <w:numId w:val="1"/>
        </w:numPr>
      </w:pPr>
      <w:r>
        <w:t>When you are ready, click the ‘Create Matrix’ button again, and continue exactly as before.</w:t>
      </w:r>
      <w:r w:rsidR="002D7081">
        <w:t xml:space="preserve"> </w:t>
      </w:r>
    </w:p>
    <w:p w:rsidR="000E0A4A" w:rsidRDefault="000E0A4A" w:rsidP="000E0A4A">
      <w:pPr>
        <w:pStyle w:val="ListParagraph"/>
      </w:pPr>
    </w:p>
    <w:p w:rsidR="000E0A4A" w:rsidRPr="000E0A4A" w:rsidRDefault="000E0A4A" w:rsidP="0041615D">
      <w:pPr>
        <w:pStyle w:val="ListParagraph"/>
        <w:numPr>
          <w:ilvl w:val="1"/>
          <w:numId w:val="1"/>
        </w:numPr>
      </w:pPr>
      <w:r w:rsidRPr="000E0A4A">
        <w:t>You may do this as many times as you need.</w:t>
      </w:r>
    </w:p>
    <w:p w:rsidR="0041615D" w:rsidRDefault="0041615D" w:rsidP="0041615D">
      <w:pPr>
        <w:pStyle w:val="ListParagraph"/>
      </w:pPr>
    </w:p>
    <w:p w:rsidR="0041615D" w:rsidRDefault="0041615D" w:rsidP="0041615D">
      <w:pPr>
        <w:pStyle w:val="ListParagraph"/>
        <w:ind w:left="1440"/>
      </w:pPr>
    </w:p>
    <w:p w:rsidR="00926E8F" w:rsidRDefault="003B1E14" w:rsidP="00926E8F">
      <w:pPr>
        <w:pStyle w:val="ListParagraph"/>
        <w:numPr>
          <w:ilvl w:val="0"/>
          <w:numId w:val="1"/>
        </w:numPr>
        <w:rPr>
          <w:b/>
        </w:rPr>
      </w:pPr>
      <w:r w:rsidRPr="003B1E14">
        <w:rPr>
          <w:b/>
        </w:rPr>
        <w:t xml:space="preserve">Note: </w:t>
      </w:r>
      <w:r w:rsidR="00E60079" w:rsidRPr="003B1E14">
        <w:rPr>
          <w:b/>
        </w:rPr>
        <w:t>Upon creating the updated matrix, this</w:t>
      </w:r>
      <w:r w:rsidR="002D7081" w:rsidRPr="003B1E14">
        <w:rPr>
          <w:b/>
        </w:rPr>
        <w:t xml:space="preserve"> table will </w:t>
      </w:r>
      <w:r w:rsidRPr="003B1E14">
        <w:rPr>
          <w:b/>
        </w:rPr>
        <w:t xml:space="preserve">populate any </w:t>
      </w:r>
      <w:r w:rsidR="002D7081" w:rsidRPr="003B1E14">
        <w:rPr>
          <w:b/>
        </w:rPr>
        <w:t xml:space="preserve">values you had previously entered from the </w:t>
      </w:r>
      <w:r w:rsidR="00E60079" w:rsidRPr="003B1E14">
        <w:rPr>
          <w:b/>
        </w:rPr>
        <w:t>backup tab</w:t>
      </w:r>
      <w:r w:rsidR="00DC6E37" w:rsidRPr="003B1E14">
        <w:rPr>
          <w:b/>
        </w:rPr>
        <w:t xml:space="preserve">. </w:t>
      </w:r>
      <w:r w:rsidRPr="003B1E14">
        <w:rPr>
          <w:b/>
        </w:rPr>
        <w:t xml:space="preserve">If you are changing the numbers of the raw data, make sure to review the numbers for accuracy before continuing on to get the final rankings. </w:t>
      </w:r>
    </w:p>
    <w:p w:rsidR="0041615D" w:rsidRPr="003B1E14" w:rsidRDefault="0041615D" w:rsidP="0041615D">
      <w:pPr>
        <w:pStyle w:val="ListParagraph"/>
        <w:rPr>
          <w:b/>
        </w:rPr>
      </w:pPr>
    </w:p>
    <w:p w:rsidR="00DD7FA8" w:rsidRDefault="00DD7FA8" w:rsidP="00F528A5">
      <w:pPr>
        <w:pStyle w:val="ListParagraph"/>
        <w:ind w:left="2160"/>
      </w:pPr>
    </w:p>
    <w:sectPr w:rsidR="00DD7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2DB9"/>
    <w:multiLevelType w:val="hybridMultilevel"/>
    <w:tmpl w:val="8B443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3C3709"/>
    <w:multiLevelType w:val="hybridMultilevel"/>
    <w:tmpl w:val="6C2655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FD"/>
    <w:rsid w:val="000D090A"/>
    <w:rsid w:val="000E0A4A"/>
    <w:rsid w:val="00154E33"/>
    <w:rsid w:val="00176971"/>
    <w:rsid w:val="00185C34"/>
    <w:rsid w:val="001A7930"/>
    <w:rsid w:val="002435C3"/>
    <w:rsid w:val="00271D46"/>
    <w:rsid w:val="00277339"/>
    <w:rsid w:val="002D7081"/>
    <w:rsid w:val="003B1E14"/>
    <w:rsid w:val="0041615D"/>
    <w:rsid w:val="004455C0"/>
    <w:rsid w:val="004A3013"/>
    <w:rsid w:val="004B005A"/>
    <w:rsid w:val="004F5254"/>
    <w:rsid w:val="004F6751"/>
    <w:rsid w:val="00557BFC"/>
    <w:rsid w:val="00615637"/>
    <w:rsid w:val="007E4F23"/>
    <w:rsid w:val="008018FD"/>
    <w:rsid w:val="008108A1"/>
    <w:rsid w:val="008672F2"/>
    <w:rsid w:val="00906509"/>
    <w:rsid w:val="00926E8F"/>
    <w:rsid w:val="00966258"/>
    <w:rsid w:val="00A273C2"/>
    <w:rsid w:val="00A3236F"/>
    <w:rsid w:val="00B051D2"/>
    <w:rsid w:val="00B95146"/>
    <w:rsid w:val="00C36F37"/>
    <w:rsid w:val="00C52CF7"/>
    <w:rsid w:val="00C91A7B"/>
    <w:rsid w:val="00D110F5"/>
    <w:rsid w:val="00DC6E37"/>
    <w:rsid w:val="00DD7FA8"/>
    <w:rsid w:val="00E10D3A"/>
    <w:rsid w:val="00E41F9C"/>
    <w:rsid w:val="00E55106"/>
    <w:rsid w:val="00E60079"/>
    <w:rsid w:val="00ED68B5"/>
    <w:rsid w:val="00F47665"/>
    <w:rsid w:val="00F528A5"/>
    <w:rsid w:val="00F72339"/>
    <w:rsid w:val="00F87D02"/>
    <w:rsid w:val="00F94D2A"/>
    <w:rsid w:val="00FA712B"/>
    <w:rsid w:val="00FE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44612-7C7C-466E-89F5-B7DF748A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8FD"/>
    <w:pPr>
      <w:ind w:left="720"/>
      <w:contextualSpacing/>
    </w:pPr>
  </w:style>
  <w:style w:type="paragraph" w:styleId="BalloonText">
    <w:name w:val="Balloon Text"/>
    <w:basedOn w:val="Normal"/>
    <w:link w:val="BalloonTextChar"/>
    <w:uiPriority w:val="99"/>
    <w:semiHidden/>
    <w:unhideWhenUsed/>
    <w:rsid w:val="00C5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CF7"/>
    <w:rPr>
      <w:rFonts w:ascii="Segoe UI" w:hAnsi="Segoe UI" w:cs="Segoe UI"/>
      <w:sz w:val="18"/>
      <w:szCs w:val="18"/>
    </w:rPr>
  </w:style>
  <w:style w:type="paragraph" w:styleId="NormalWeb">
    <w:name w:val="Normal (Web)"/>
    <w:basedOn w:val="Normal"/>
    <w:uiPriority w:val="99"/>
    <w:semiHidden/>
    <w:unhideWhenUsed/>
    <w:rsid w:val="00B051D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4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Weighted Summation Model Users Guide</vt:lpstr>
    </vt:vector>
  </TitlesOfParts>
  <Company>WSDOT</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Weighted Summation Model Users Guide</dc:title>
  <dc:subject/>
  <dc:creator>WSDOT Design</dc:creator>
  <cp:keywords/>
  <dc:description/>
  <cp:lastModifiedBy>Williams, Stephanie</cp:lastModifiedBy>
  <cp:revision>2</cp:revision>
  <cp:lastPrinted>2018-07-25T22:06:00Z</cp:lastPrinted>
  <dcterms:created xsi:type="dcterms:W3CDTF">2019-05-20T18:23:00Z</dcterms:created>
  <dcterms:modified xsi:type="dcterms:W3CDTF">2019-05-20T18:23:00Z</dcterms:modified>
</cp:coreProperties>
</file>